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346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Р-404 Тюмень-Тобольск-Ханты-Мансийск,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 к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надлежащим образом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и месте рассмотрения административного материала,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в его отсутствие, с правонарушением согласен.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25.1 КоАП РФ и ст. 51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05.03.2025 в 07:38, на 21 км а/д Р-404 Тюмень-Тобольск-Ханты-Мансийск, подъезд к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6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средства, в зоне действия дорожного знака 3.20 «Обгон запрещен», с выездом на полосу дороги, предназначенную для встречного движения,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>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05.03.2025 в 07:38, на 21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Р-404 Тюмень-Тобольск-Ханты-Мансийск, подъезд к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6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4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 дороги, предназна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ченную для встречного движения.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взвода </w:t>
      </w:r>
      <w:r>
        <w:rPr>
          <w:rFonts w:ascii="Times New Roman" w:eastAsia="Times New Roman" w:hAnsi="Times New Roman" w:cs="Times New Roman"/>
          <w:sz w:val="28"/>
          <w:szCs w:val="28"/>
        </w:rPr>
        <w:t>№1 роты №2 ОБ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8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05.03.2025 в 07:38, на 21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Р-404 Тюмень-Тобольск-Ханты-Мансийск, подъезд к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6rplc-5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5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 дороги, предназн</w:t>
      </w:r>
      <w:r>
        <w:rPr>
          <w:rFonts w:ascii="Times New Roman" w:eastAsia="Times New Roman" w:hAnsi="Times New Roman" w:cs="Times New Roman"/>
          <w:sz w:val="28"/>
          <w:szCs w:val="28"/>
        </w:rPr>
        <w:t>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водительского удостоверения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дорожного движения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>Р-404 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участке км </w:t>
      </w:r>
      <w:r>
        <w:rPr>
          <w:rFonts w:ascii="Times New Roman" w:eastAsia="Times New Roman" w:hAnsi="Times New Roman" w:cs="Times New Roman"/>
          <w:sz w:val="28"/>
          <w:szCs w:val="28"/>
        </w:rPr>
        <w:t>0+000-км 38+295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данной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распространяется действие дорожного знака 3.20 «Обгон запрещен»;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видно,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</w:t>
      </w:r>
      <w:r>
        <w:rPr>
          <w:rStyle w:val="cat-CarMakeModelgrp-26rplc-5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5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 в зоне действия дорожного знака 3.20 «Обгон запрещен» с выездом на полосу дороги, предназначенную для встречного движения.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пункта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9.1 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 следует,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из объема инкриминируемых лицу нарушений Правил дорожного движения Российской Федерации следует исключить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9.1(1)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 Российской Федерации,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административном правонарушении не отражено нарушение дорожной разметки, устанавливающей запрет на выезд на полосу встречного движения.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исключение п. 9.1 (1) ПДД РФ из объема обвинения, не исключает состав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выезд на полосу, предназначенную для встречного движения,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ответственность за данное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Roboto" w:eastAsia="Roboto" w:hAnsi="Roboto" w:cs="Roboto"/>
          <w:sz w:val="28"/>
          <w:szCs w:val="28"/>
        </w:rPr>
        <w:t xml:space="preserve"> </w:t>
      </w:r>
      <w:hyperlink r:id="rId6" w:anchor="/document/12125267/entry/121505" w:history="1">
        <w:r>
          <w:rPr>
            <w:rFonts w:ascii="Roboto" w:eastAsia="Roboto" w:hAnsi="Roboto" w:cs="Roboto"/>
            <w:color w:val="0000EE"/>
            <w:sz w:val="28"/>
            <w:szCs w:val="28"/>
          </w:rPr>
          <w:t xml:space="preserve">ч. </w:t>
        </w:r>
        <w:r>
          <w:rPr>
            <w:rFonts w:ascii="Roboto" w:eastAsia="Roboto" w:hAnsi="Roboto" w:cs="Roboto"/>
            <w:color w:val="0000EE"/>
            <w:sz w:val="28"/>
            <w:szCs w:val="28"/>
          </w:rPr>
          <w:t>4</w:t>
        </w:r>
        <w:r>
          <w:rPr>
            <w:rFonts w:ascii="Roboto" w:eastAsia="Roboto" w:hAnsi="Roboto" w:cs="Roboto"/>
            <w:color w:val="0000EE"/>
            <w:sz w:val="28"/>
            <w:szCs w:val="28"/>
          </w:rPr>
          <w:t xml:space="preserve"> ст. 12.15</w:t>
        </w:r>
      </w:hyperlink>
      <w:r>
        <w:rPr>
          <w:rFonts w:ascii="Roboto" w:eastAsia="Roboto" w:hAnsi="Roboto" w:cs="Roboto"/>
          <w:sz w:val="28"/>
          <w:szCs w:val="28"/>
        </w:rPr>
        <w:t xml:space="preserve"> Кодекса Российской Федерации об административных правонарушениях, поскольку в силу положений главы 1 приложения N 2 к </w:t>
      </w:r>
      <w:hyperlink r:id="rId6" w:anchor="/document/1305770/entry/1000" w:history="1">
        <w:r>
          <w:rPr>
            <w:rFonts w:ascii="Roboto" w:eastAsia="Roboto" w:hAnsi="Roboto" w:cs="Roboto"/>
            <w:color w:val="0000EE"/>
            <w:sz w:val="28"/>
            <w:szCs w:val="28"/>
          </w:rPr>
          <w:t>ПДД РФ</w:t>
        </w:r>
      </w:hyperlink>
      <w:r>
        <w:rPr>
          <w:rFonts w:ascii="Roboto" w:eastAsia="Roboto" w:hAnsi="Roboto" w:cs="Roboto"/>
          <w:sz w:val="28"/>
          <w:szCs w:val="28"/>
        </w:rPr>
        <w:t xml:space="preserve"> в случаях,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совершении обгона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Рыбачок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 (семь тысяч пятьсот) рублей.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4rplc-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1881048625091003</w:t>
      </w:r>
      <w:r>
        <w:rPr>
          <w:rFonts w:ascii="Times New Roman" w:eastAsia="Times New Roman" w:hAnsi="Times New Roman" w:cs="Times New Roman"/>
          <w:sz w:val="28"/>
          <w:szCs w:val="28"/>
        </w:rPr>
        <w:t>2474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CarMakeModelgrp-26rplc-35">
    <w:name w:val="cat-CarMakeModel grp-26 rplc-35"/>
    <w:basedOn w:val="DefaultParagraphFont"/>
  </w:style>
  <w:style w:type="character" w:customStyle="1" w:styleId="cat-CarNumbergrp-27rplc-36">
    <w:name w:val="cat-CarNumber grp-27 rplc-36"/>
    <w:basedOn w:val="DefaultParagraphFont"/>
  </w:style>
  <w:style w:type="character" w:customStyle="1" w:styleId="cat-CarMakeModelgrp-26rplc-43">
    <w:name w:val="cat-CarMakeModel grp-26 rplc-43"/>
    <w:basedOn w:val="DefaultParagraphFont"/>
  </w:style>
  <w:style w:type="character" w:customStyle="1" w:styleId="cat-CarNumbergrp-27rplc-44">
    <w:name w:val="cat-CarNumber grp-27 rplc-44"/>
    <w:basedOn w:val="DefaultParagraphFont"/>
  </w:style>
  <w:style w:type="character" w:customStyle="1" w:styleId="cat-ExternalSystemDefinedgrp-38rplc-46">
    <w:name w:val="cat-ExternalSystemDefined grp-38 rplc-46"/>
    <w:basedOn w:val="DefaultParagraphFont"/>
  </w:style>
  <w:style w:type="character" w:customStyle="1" w:styleId="cat-CarMakeModelgrp-26rplc-52">
    <w:name w:val="cat-CarMakeModel grp-26 rplc-52"/>
    <w:basedOn w:val="DefaultParagraphFont"/>
  </w:style>
  <w:style w:type="character" w:customStyle="1" w:styleId="cat-CarNumbergrp-27rplc-53">
    <w:name w:val="cat-CarNumber grp-27 rplc-53"/>
    <w:basedOn w:val="DefaultParagraphFont"/>
  </w:style>
  <w:style w:type="character" w:customStyle="1" w:styleId="cat-CarMakeModelgrp-26rplc-56">
    <w:name w:val="cat-CarMakeModel grp-26 rplc-56"/>
    <w:basedOn w:val="DefaultParagraphFont"/>
  </w:style>
  <w:style w:type="character" w:customStyle="1" w:styleId="cat-CarNumbergrp-27rplc-57">
    <w:name w:val="cat-CarNumber grp-27 rplc-57"/>
    <w:basedOn w:val="DefaultParagraphFont"/>
  </w:style>
  <w:style w:type="character" w:customStyle="1" w:styleId="cat-OrganizationNamegrp-24rplc-68">
    <w:name w:val="cat-OrganizationName grp-24 rplc-68"/>
    <w:basedOn w:val="DefaultParagraphFont"/>
  </w:style>
  <w:style w:type="character" w:customStyle="1" w:styleId="cat-UserDefinedgrp-41rplc-76">
    <w:name w:val="cat-UserDefined grp-41 rplc-76"/>
    <w:basedOn w:val="DefaultParagraphFont"/>
  </w:style>
  <w:style w:type="character" w:customStyle="1" w:styleId="cat-UserDefinedgrp-42rplc-79">
    <w:name w:val="cat-UserDefined grp-42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5" Type="http://schemas.openxmlformats.org/officeDocument/2006/relationships/hyperlink" Target="consultantplus://offline/ref=FEA152784F269A611A1C478376D08CD91202CA8A5341D33B147BDD7A5CEF4087A7CF09DB73A67BC5C3045A16341AC3238B0D56EE4F0CWFE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